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D5" w:rsidRDefault="00D812D5"/>
    <w:p w:rsidR="00477112" w:rsidRDefault="00477112">
      <w:pPr>
        <w:rPr>
          <w:b/>
          <w:sz w:val="36"/>
          <w:szCs w:val="36"/>
        </w:rPr>
      </w:pPr>
      <w:r>
        <w:rPr>
          <w:b/>
          <w:sz w:val="36"/>
          <w:szCs w:val="36"/>
        </w:rPr>
        <w:t>GDPR – Det handler om vores adfærd!</w:t>
      </w:r>
    </w:p>
    <w:p w:rsidR="00477112" w:rsidRPr="00477112" w:rsidRDefault="00477112" w:rsidP="00477112">
      <w:pPr>
        <w:rPr>
          <w:sz w:val="36"/>
          <w:szCs w:val="36"/>
        </w:rPr>
      </w:pPr>
      <w:r w:rsidRPr="00477112">
        <w:rPr>
          <w:sz w:val="36"/>
          <w:szCs w:val="36"/>
        </w:rPr>
        <w:t>Persondataforordning</w:t>
      </w:r>
    </w:p>
    <w:p w:rsidR="00477112" w:rsidRDefault="00477112">
      <w:pPr>
        <w:rPr>
          <w:b/>
          <w:sz w:val="36"/>
          <w:szCs w:val="36"/>
        </w:rPr>
      </w:pPr>
    </w:p>
    <w:p w:rsidR="00477112" w:rsidRDefault="00477112">
      <w:pPr>
        <w:rPr>
          <w:sz w:val="24"/>
          <w:szCs w:val="24"/>
        </w:rPr>
      </w:pPr>
      <w:r>
        <w:rPr>
          <w:sz w:val="24"/>
          <w:szCs w:val="24"/>
        </w:rPr>
        <w:t xml:space="preserve">Helt generelt er vi alle forpligtet til at have ekstra fokus på vores adfærd og omgang med andres persondata. Vi skal sikre, at andres persondata kun bruges til det, der er behov for, og at vi beskytter oplysningerne i den periode, hvor vi har behov for at låne dem. </w:t>
      </w:r>
    </w:p>
    <w:p w:rsidR="000A6701" w:rsidRDefault="000A6701">
      <w:pPr>
        <w:rPr>
          <w:sz w:val="24"/>
          <w:szCs w:val="24"/>
        </w:rPr>
      </w:pPr>
      <w:r>
        <w:rPr>
          <w:sz w:val="24"/>
          <w:szCs w:val="24"/>
        </w:rPr>
        <w:t>UU Guldborgsund har derfor en underskrevet databehandleraftale med Uno It. Databehandleraftalen ligger på hjemmeside.</w:t>
      </w:r>
    </w:p>
    <w:p w:rsidR="00477112" w:rsidRDefault="00477112">
      <w:pPr>
        <w:rPr>
          <w:sz w:val="24"/>
          <w:szCs w:val="24"/>
        </w:rPr>
      </w:pPr>
      <w:r>
        <w:rPr>
          <w:sz w:val="24"/>
          <w:szCs w:val="24"/>
        </w:rPr>
        <w:t xml:space="preserve">I UU Guldborgsund </w:t>
      </w:r>
      <w:r w:rsidR="000A6701">
        <w:rPr>
          <w:sz w:val="24"/>
          <w:szCs w:val="24"/>
        </w:rPr>
        <w:t>har vi gode arbejdsvaner, og vi følger disse to punkter:</w:t>
      </w:r>
    </w:p>
    <w:p w:rsidR="000A6701" w:rsidRDefault="000A6701" w:rsidP="000A6701">
      <w:pPr>
        <w:pStyle w:val="Listeafsnit"/>
        <w:numPr>
          <w:ilvl w:val="0"/>
          <w:numId w:val="1"/>
        </w:numPr>
        <w:rPr>
          <w:sz w:val="24"/>
          <w:szCs w:val="24"/>
        </w:rPr>
      </w:pPr>
      <w:r>
        <w:rPr>
          <w:sz w:val="24"/>
          <w:szCs w:val="24"/>
        </w:rPr>
        <w:t>Slet, makulér og ryd op – du skal slette, makulere og rydde op i dokumenter med personhenførbare oplysninger</w:t>
      </w:r>
    </w:p>
    <w:p w:rsidR="000A6701" w:rsidRDefault="000A6701" w:rsidP="000A6701">
      <w:pPr>
        <w:pStyle w:val="Listeafsnit"/>
        <w:numPr>
          <w:ilvl w:val="0"/>
          <w:numId w:val="1"/>
        </w:numPr>
        <w:rPr>
          <w:sz w:val="24"/>
          <w:szCs w:val="24"/>
        </w:rPr>
      </w:pPr>
      <w:r>
        <w:rPr>
          <w:sz w:val="24"/>
          <w:szCs w:val="24"/>
        </w:rPr>
        <w:t>Computere, mobile enheder og IT-systemer – du må ikke dele personlige kodeord med andre, du skal altid låse din computerskærm, når du forlader din plads, og du må kun bruge godkendte IT-systemer</w:t>
      </w:r>
    </w:p>
    <w:p w:rsidR="000A6701" w:rsidRDefault="00760EF7" w:rsidP="000A6701">
      <w:pPr>
        <w:rPr>
          <w:sz w:val="24"/>
          <w:szCs w:val="24"/>
        </w:rPr>
      </w:pPr>
      <w:r>
        <w:rPr>
          <w:sz w:val="24"/>
          <w:szCs w:val="24"/>
        </w:rPr>
        <w:t xml:space="preserve">I Outlook </w:t>
      </w:r>
      <w:r w:rsidRPr="00760EF7">
        <w:rPr>
          <w:sz w:val="24"/>
          <w:szCs w:val="24"/>
        </w:rPr>
        <w:t>modtage</w:t>
      </w:r>
      <w:r>
        <w:rPr>
          <w:sz w:val="24"/>
          <w:szCs w:val="24"/>
        </w:rPr>
        <w:t>r vi</w:t>
      </w:r>
      <w:r w:rsidRPr="00760EF7">
        <w:rPr>
          <w:sz w:val="24"/>
          <w:szCs w:val="24"/>
        </w:rPr>
        <w:t xml:space="preserve"> mange informationer, som indeholder en eller anden form for personfølsomme oplysninger. Den slags informationer må kun ligge i Outlook i 30 dage, hvorefter de skal slettes</w:t>
      </w:r>
      <w:r w:rsidR="00CD42AB">
        <w:rPr>
          <w:sz w:val="24"/>
          <w:szCs w:val="24"/>
        </w:rPr>
        <w:t xml:space="preserve"> og/eller journaliseres i Uno Ung. </w:t>
      </w:r>
    </w:p>
    <w:p w:rsidR="00DE7E29" w:rsidRDefault="00DE7E29" w:rsidP="000A6701">
      <w:pPr>
        <w:rPr>
          <w:b/>
          <w:sz w:val="24"/>
          <w:szCs w:val="24"/>
        </w:rPr>
      </w:pPr>
      <w:r w:rsidRPr="00DE7E29">
        <w:rPr>
          <w:b/>
          <w:sz w:val="24"/>
          <w:szCs w:val="24"/>
        </w:rPr>
        <w:t>Husk at låse skærmen, når kontoret forlades.</w:t>
      </w:r>
    </w:p>
    <w:p w:rsidR="00DE7E29" w:rsidRPr="00DE7E29" w:rsidRDefault="00DE7E29" w:rsidP="00DE7E29">
      <w:pPr>
        <w:rPr>
          <w:sz w:val="24"/>
          <w:szCs w:val="24"/>
        </w:rPr>
      </w:pPr>
      <w:r w:rsidRPr="00DE7E29">
        <w:rPr>
          <w:sz w:val="24"/>
          <w:szCs w:val="24"/>
        </w:rPr>
        <w:t>En hurtig genvej til at låse skærmen, når du forlader dit skrivebord</w:t>
      </w:r>
      <w:bookmarkStart w:id="0" w:name="_GoBack"/>
      <w:bookmarkEnd w:id="0"/>
    </w:p>
    <w:tbl>
      <w:tblPr>
        <w:tblW w:w="522" w:type="pct"/>
        <w:tblCellMar>
          <w:left w:w="0" w:type="dxa"/>
          <w:right w:w="0" w:type="dxa"/>
        </w:tblCellMar>
        <w:tblLook w:val="04A0" w:firstRow="1" w:lastRow="0" w:firstColumn="1" w:lastColumn="0" w:noHBand="0" w:noVBand="1"/>
      </w:tblPr>
      <w:tblGrid>
        <w:gridCol w:w="1132"/>
        <w:gridCol w:w="437"/>
      </w:tblGrid>
      <w:tr w:rsidR="00DE7E29" w:rsidRPr="00DE7E29" w:rsidTr="00DE7E29">
        <w:tc>
          <w:tcPr>
            <w:tcW w:w="2254" w:type="pct"/>
            <w:tcBorders>
              <w:top w:val="single" w:sz="8" w:space="0" w:color="D0D0D0"/>
              <w:left w:val="single" w:sz="8" w:space="0" w:color="D0D0D0"/>
              <w:bottom w:val="single" w:sz="8" w:space="0" w:color="D0D0D0"/>
              <w:right w:val="single" w:sz="8" w:space="0" w:color="D0D0D0"/>
            </w:tcBorders>
            <w:tcMar>
              <w:top w:w="60" w:type="dxa"/>
              <w:left w:w="60" w:type="dxa"/>
              <w:bottom w:w="60" w:type="dxa"/>
              <w:right w:w="60" w:type="dxa"/>
            </w:tcMar>
            <w:vAlign w:val="center"/>
            <w:hideMark/>
          </w:tcPr>
          <w:p w:rsidR="00DE7E29" w:rsidRPr="00DE7E29" w:rsidRDefault="00DE7E29" w:rsidP="00DE7E29">
            <w:pPr>
              <w:rPr>
                <w:b/>
                <w:sz w:val="24"/>
                <w:szCs w:val="24"/>
              </w:rPr>
            </w:pPr>
            <w:r w:rsidRPr="00DE7E29">
              <w:rPr>
                <w:b/>
                <w:sz w:val="24"/>
                <w:szCs w:val="24"/>
              </w:rPr>
              <w:t>Windows-tast +L</w:t>
            </w:r>
          </w:p>
        </w:tc>
        <w:tc>
          <w:tcPr>
            <w:tcW w:w="2746" w:type="pct"/>
            <w:tcBorders>
              <w:top w:val="single" w:sz="8" w:space="0" w:color="D0D0D0"/>
              <w:left w:val="nil"/>
              <w:bottom w:val="single" w:sz="8" w:space="0" w:color="D0D0D0"/>
              <w:right w:val="single" w:sz="8" w:space="0" w:color="D0D0D0"/>
            </w:tcBorders>
            <w:tcMar>
              <w:top w:w="60" w:type="dxa"/>
              <w:left w:w="60" w:type="dxa"/>
              <w:bottom w:w="60" w:type="dxa"/>
              <w:right w:w="60" w:type="dxa"/>
            </w:tcMar>
            <w:vAlign w:val="center"/>
            <w:hideMark/>
          </w:tcPr>
          <w:p w:rsidR="00DE7E29" w:rsidRPr="00DE7E29" w:rsidRDefault="00DE7E29" w:rsidP="00DE7E29">
            <w:pPr>
              <w:rPr>
                <w:b/>
                <w:sz w:val="24"/>
                <w:szCs w:val="24"/>
              </w:rPr>
            </w:pPr>
            <w:r w:rsidRPr="00DE7E29">
              <w:rPr>
                <w:b/>
                <w:sz w:val="24"/>
                <w:szCs w:val="24"/>
              </w:rPr>
              <w:t>Lås din pc</w:t>
            </w:r>
          </w:p>
        </w:tc>
      </w:tr>
    </w:tbl>
    <w:p w:rsidR="00DE7E29" w:rsidRPr="00DE7E29" w:rsidRDefault="00DE7E29" w:rsidP="000A6701">
      <w:pPr>
        <w:rPr>
          <w:b/>
          <w:sz w:val="24"/>
          <w:szCs w:val="24"/>
        </w:rPr>
      </w:pPr>
    </w:p>
    <w:p w:rsidR="00CD42AB" w:rsidRDefault="00CD42AB" w:rsidP="000A6701">
      <w:pPr>
        <w:rPr>
          <w:b/>
          <w:sz w:val="24"/>
          <w:szCs w:val="24"/>
        </w:rPr>
      </w:pPr>
      <w:r w:rsidRPr="00CD42AB">
        <w:rPr>
          <w:b/>
          <w:sz w:val="24"/>
          <w:szCs w:val="24"/>
        </w:rPr>
        <w:t>Samtykkeerklæring</w:t>
      </w:r>
    </w:p>
    <w:p w:rsidR="00CD42AB" w:rsidRDefault="00CD42AB" w:rsidP="000A6701">
      <w:pPr>
        <w:rPr>
          <w:sz w:val="24"/>
          <w:szCs w:val="24"/>
        </w:rPr>
      </w:pPr>
      <w:r>
        <w:rPr>
          <w:sz w:val="24"/>
          <w:szCs w:val="24"/>
        </w:rPr>
        <w:t>Vi sørger for at indhente samtykke!</w:t>
      </w:r>
    </w:p>
    <w:p w:rsidR="00CD42AB" w:rsidRDefault="00CD42AB" w:rsidP="000A6701">
      <w:pPr>
        <w:rPr>
          <w:b/>
          <w:sz w:val="24"/>
          <w:szCs w:val="24"/>
        </w:rPr>
      </w:pPr>
      <w:r w:rsidRPr="00CD42AB">
        <w:rPr>
          <w:b/>
          <w:sz w:val="24"/>
          <w:szCs w:val="24"/>
        </w:rPr>
        <w:t>Den unges rettigheder</w:t>
      </w:r>
    </w:p>
    <w:p w:rsidR="00CD42AB" w:rsidRDefault="00CD42AB" w:rsidP="000A6701">
      <w:pPr>
        <w:rPr>
          <w:sz w:val="24"/>
          <w:szCs w:val="24"/>
        </w:rPr>
      </w:pPr>
      <w:r>
        <w:rPr>
          <w:sz w:val="24"/>
          <w:szCs w:val="24"/>
        </w:rPr>
        <w:lastRenderedPageBreak/>
        <w:t>Den unge har en række særlige rettigheder efter Persondataforordningen, når vi behandler personoplysninger:</w:t>
      </w:r>
    </w:p>
    <w:p w:rsidR="00CD42AB" w:rsidRDefault="00CD42AB" w:rsidP="00CD42AB">
      <w:pPr>
        <w:pStyle w:val="Listeafsnit"/>
        <w:numPr>
          <w:ilvl w:val="0"/>
          <w:numId w:val="2"/>
        </w:numPr>
        <w:rPr>
          <w:sz w:val="24"/>
          <w:szCs w:val="24"/>
        </w:rPr>
      </w:pPr>
      <w:r>
        <w:rPr>
          <w:sz w:val="24"/>
          <w:szCs w:val="24"/>
        </w:rPr>
        <w:t>Retten til at blive oplyst om behandling af data</w:t>
      </w:r>
    </w:p>
    <w:p w:rsidR="00CD42AB" w:rsidRDefault="00CD42AB" w:rsidP="00CD42AB">
      <w:pPr>
        <w:pStyle w:val="Listeafsnit"/>
        <w:numPr>
          <w:ilvl w:val="0"/>
          <w:numId w:val="2"/>
        </w:numPr>
        <w:rPr>
          <w:sz w:val="24"/>
          <w:szCs w:val="24"/>
        </w:rPr>
      </w:pPr>
      <w:r>
        <w:rPr>
          <w:sz w:val="24"/>
          <w:szCs w:val="24"/>
        </w:rPr>
        <w:t>Retten til indsigt i egne personoplysninger</w:t>
      </w:r>
    </w:p>
    <w:p w:rsidR="00CD42AB" w:rsidRDefault="00CD42AB" w:rsidP="00CD42AB">
      <w:pPr>
        <w:pStyle w:val="Listeafsnit"/>
        <w:numPr>
          <w:ilvl w:val="0"/>
          <w:numId w:val="2"/>
        </w:numPr>
        <w:rPr>
          <w:sz w:val="24"/>
          <w:szCs w:val="24"/>
        </w:rPr>
      </w:pPr>
      <w:r>
        <w:rPr>
          <w:sz w:val="24"/>
          <w:szCs w:val="24"/>
        </w:rPr>
        <w:t>Retten til berigtigelse</w:t>
      </w:r>
    </w:p>
    <w:p w:rsidR="00CD42AB" w:rsidRDefault="00CD42AB" w:rsidP="00CD42AB">
      <w:pPr>
        <w:pStyle w:val="Listeafsnit"/>
        <w:numPr>
          <w:ilvl w:val="0"/>
          <w:numId w:val="2"/>
        </w:numPr>
        <w:rPr>
          <w:sz w:val="24"/>
          <w:szCs w:val="24"/>
        </w:rPr>
      </w:pPr>
      <w:r>
        <w:rPr>
          <w:sz w:val="24"/>
          <w:szCs w:val="24"/>
        </w:rPr>
        <w:t>Retten til sletning</w:t>
      </w:r>
    </w:p>
    <w:p w:rsidR="00CD42AB" w:rsidRDefault="00CD42AB" w:rsidP="00CD42AB">
      <w:pPr>
        <w:pStyle w:val="Listeafsnit"/>
        <w:numPr>
          <w:ilvl w:val="0"/>
          <w:numId w:val="2"/>
        </w:numPr>
        <w:rPr>
          <w:sz w:val="24"/>
          <w:szCs w:val="24"/>
        </w:rPr>
      </w:pPr>
      <w:r>
        <w:rPr>
          <w:sz w:val="24"/>
          <w:szCs w:val="24"/>
        </w:rPr>
        <w:t>Retten til begrænsning af behandling</w:t>
      </w:r>
    </w:p>
    <w:p w:rsidR="00CD42AB" w:rsidRDefault="00CD42AB" w:rsidP="00CD42AB">
      <w:pPr>
        <w:pStyle w:val="Listeafsnit"/>
        <w:numPr>
          <w:ilvl w:val="0"/>
          <w:numId w:val="2"/>
        </w:numPr>
        <w:rPr>
          <w:sz w:val="24"/>
          <w:szCs w:val="24"/>
        </w:rPr>
      </w:pPr>
      <w:r>
        <w:rPr>
          <w:sz w:val="24"/>
          <w:szCs w:val="24"/>
        </w:rPr>
        <w:t xml:space="preserve">Retten til </w:t>
      </w:r>
      <w:proofErr w:type="spellStart"/>
      <w:r>
        <w:rPr>
          <w:sz w:val="24"/>
          <w:szCs w:val="24"/>
        </w:rPr>
        <w:t>dataportabilitet</w:t>
      </w:r>
      <w:proofErr w:type="spellEnd"/>
      <w:r>
        <w:rPr>
          <w:sz w:val="24"/>
          <w:szCs w:val="24"/>
        </w:rPr>
        <w:t xml:space="preserve"> (udlevering af data i et almindeligt anvendt format)</w:t>
      </w:r>
    </w:p>
    <w:p w:rsidR="00505CB4" w:rsidRPr="00505CB4" w:rsidRDefault="00CD42AB" w:rsidP="00505CB4">
      <w:pPr>
        <w:pStyle w:val="Listeafsnit"/>
        <w:numPr>
          <w:ilvl w:val="0"/>
          <w:numId w:val="2"/>
        </w:numPr>
        <w:rPr>
          <w:sz w:val="24"/>
          <w:szCs w:val="24"/>
        </w:rPr>
      </w:pPr>
      <w:r>
        <w:rPr>
          <w:sz w:val="24"/>
          <w:szCs w:val="24"/>
        </w:rPr>
        <w:t>Retten til indsigelse</w:t>
      </w:r>
    </w:p>
    <w:p w:rsidR="00505CB4" w:rsidRDefault="00CD42AB" w:rsidP="00CD42AB">
      <w:pPr>
        <w:rPr>
          <w:sz w:val="24"/>
          <w:szCs w:val="24"/>
        </w:rPr>
      </w:pPr>
      <w:r>
        <w:rPr>
          <w:sz w:val="24"/>
          <w:szCs w:val="24"/>
        </w:rPr>
        <w:t xml:space="preserve">Den unge eller forældremyndighedsindehaveren kan gøre brug af </w:t>
      </w:r>
      <w:r w:rsidR="00505CB4">
        <w:rPr>
          <w:sz w:val="24"/>
          <w:szCs w:val="24"/>
        </w:rPr>
        <w:t>sine rettigheder, herunder gøre indsigelse mod vores behandling, ved at henvende sig til os.</w:t>
      </w:r>
    </w:p>
    <w:p w:rsidR="00505CB4" w:rsidRDefault="00505CB4" w:rsidP="00CD42AB">
      <w:pPr>
        <w:rPr>
          <w:sz w:val="24"/>
          <w:szCs w:val="24"/>
        </w:rPr>
      </w:pPr>
    </w:p>
    <w:p w:rsidR="00505CB4" w:rsidRDefault="00505CB4" w:rsidP="00CD42AB">
      <w:pPr>
        <w:rPr>
          <w:sz w:val="24"/>
          <w:szCs w:val="24"/>
        </w:rPr>
      </w:pPr>
      <w:r>
        <w:rPr>
          <w:sz w:val="24"/>
          <w:szCs w:val="24"/>
        </w:rPr>
        <w:t xml:space="preserve">Ang. </w:t>
      </w:r>
      <w:hyperlink r:id="rId7" w:history="1">
        <w:r w:rsidRPr="003858A8">
          <w:rPr>
            <w:rStyle w:val="Hyperlink"/>
            <w:sz w:val="24"/>
            <w:szCs w:val="24"/>
          </w:rPr>
          <w:t>www.uuguldborgsund.dk</w:t>
        </w:r>
      </w:hyperlink>
      <w:r>
        <w:rPr>
          <w:sz w:val="24"/>
          <w:szCs w:val="24"/>
        </w:rPr>
        <w:t xml:space="preserve"> </w:t>
      </w:r>
    </w:p>
    <w:p w:rsidR="00505CB4" w:rsidRDefault="00505CB4" w:rsidP="00CD42AB">
      <w:pPr>
        <w:rPr>
          <w:sz w:val="24"/>
          <w:szCs w:val="24"/>
        </w:rPr>
      </w:pPr>
      <w:r>
        <w:rPr>
          <w:sz w:val="24"/>
          <w:szCs w:val="24"/>
        </w:rPr>
        <w:t>Persondataloven stiller højere krav til information om cookie brug og privatlivsinformationer. Hjemmesiden skal opdateres til GDPR kravene</w:t>
      </w:r>
    </w:p>
    <w:p w:rsidR="00505CB4" w:rsidRDefault="00505CB4" w:rsidP="00CD42AB">
      <w:pPr>
        <w:rPr>
          <w:sz w:val="24"/>
          <w:szCs w:val="24"/>
        </w:rPr>
      </w:pPr>
    </w:p>
    <w:p w:rsidR="00505CB4" w:rsidRPr="00CD42AB" w:rsidRDefault="00505CB4" w:rsidP="00CD42AB">
      <w:pPr>
        <w:rPr>
          <w:sz w:val="24"/>
          <w:szCs w:val="24"/>
        </w:rPr>
      </w:pPr>
    </w:p>
    <w:p w:rsidR="00CD42AB" w:rsidRPr="00CD42AB" w:rsidRDefault="00CD42AB" w:rsidP="000A6701">
      <w:pPr>
        <w:rPr>
          <w:sz w:val="24"/>
          <w:szCs w:val="24"/>
        </w:rPr>
      </w:pPr>
    </w:p>
    <w:p w:rsidR="00760EF7" w:rsidRPr="000A6701" w:rsidRDefault="00760EF7" w:rsidP="000A6701">
      <w:pPr>
        <w:rPr>
          <w:sz w:val="24"/>
          <w:szCs w:val="24"/>
        </w:rPr>
      </w:pPr>
    </w:p>
    <w:sectPr w:rsidR="00760EF7" w:rsidRPr="000A6701" w:rsidSect="00D812D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E99" w:rsidRDefault="00301E99" w:rsidP="00301E99">
      <w:pPr>
        <w:spacing w:after="0" w:line="240" w:lineRule="auto"/>
      </w:pPr>
      <w:r>
        <w:separator/>
      </w:r>
    </w:p>
  </w:endnote>
  <w:endnote w:type="continuationSeparator" w:id="0">
    <w:p w:rsidR="00301E99" w:rsidRDefault="00301E99" w:rsidP="0030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E99" w:rsidRDefault="00301E99" w:rsidP="00301E99">
      <w:pPr>
        <w:spacing w:after="0" w:line="240" w:lineRule="auto"/>
      </w:pPr>
      <w:r>
        <w:separator/>
      </w:r>
    </w:p>
  </w:footnote>
  <w:footnote w:type="continuationSeparator" w:id="0">
    <w:p w:rsidR="00301E99" w:rsidRDefault="00301E99" w:rsidP="0030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99" w:rsidRDefault="00477112">
    <w:pPr>
      <w:pStyle w:val="Sidehoved"/>
    </w:pPr>
    <w:r>
      <w:rPr>
        <w:noProof/>
        <w:lang w:eastAsia="da-DK"/>
      </w:rPr>
      <w:t xml:space="preserve">                                                                                                                                                     </w:t>
    </w:r>
    <w:r w:rsidR="00301E99" w:rsidRPr="00E62A64">
      <w:rPr>
        <w:noProof/>
        <w:lang w:eastAsia="da-DK"/>
      </w:rPr>
      <w:drawing>
        <wp:inline distT="0" distB="0" distL="0" distR="0" wp14:anchorId="743BD7EF" wp14:editId="36D7E9C8">
          <wp:extent cx="1278036" cy="808930"/>
          <wp:effectExtent l="0" t="0" r="0" b="0"/>
          <wp:docPr id="3" name="Billede 3" descr="C:\Users\jpo\Desktop\Logo uu guldborgs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o\Desktop\Logo uu guldborgs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679" cy="837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3E52"/>
    <w:multiLevelType w:val="hybridMultilevel"/>
    <w:tmpl w:val="FF34F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6E5883"/>
    <w:multiLevelType w:val="hybridMultilevel"/>
    <w:tmpl w:val="E0ACB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99"/>
    <w:rsid w:val="00026946"/>
    <w:rsid w:val="000A6701"/>
    <w:rsid w:val="00137A4C"/>
    <w:rsid w:val="0020795B"/>
    <w:rsid w:val="002F0FC1"/>
    <w:rsid w:val="00301E99"/>
    <w:rsid w:val="00477112"/>
    <w:rsid w:val="00505CB4"/>
    <w:rsid w:val="005F754A"/>
    <w:rsid w:val="006E45A8"/>
    <w:rsid w:val="00760EF7"/>
    <w:rsid w:val="00A2772C"/>
    <w:rsid w:val="00CD42AB"/>
    <w:rsid w:val="00D0047A"/>
    <w:rsid w:val="00D20999"/>
    <w:rsid w:val="00D812D5"/>
    <w:rsid w:val="00DB3AC0"/>
    <w:rsid w:val="00DE7E29"/>
    <w:rsid w:val="00F17B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211C"/>
  <w15:chartTrackingRefBased/>
  <w15:docId w15:val="{41431E7E-D586-420B-A6A3-B1CCADE7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D5"/>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01E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1E99"/>
  </w:style>
  <w:style w:type="paragraph" w:styleId="Sidefod">
    <w:name w:val="footer"/>
    <w:basedOn w:val="Normal"/>
    <w:link w:val="SidefodTegn"/>
    <w:uiPriority w:val="99"/>
    <w:unhideWhenUsed/>
    <w:rsid w:val="00301E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1E99"/>
  </w:style>
  <w:style w:type="paragraph" w:styleId="Listeafsnit">
    <w:name w:val="List Paragraph"/>
    <w:basedOn w:val="Normal"/>
    <w:uiPriority w:val="34"/>
    <w:qFormat/>
    <w:rsid w:val="000A6701"/>
    <w:pPr>
      <w:ind w:left="720"/>
      <w:contextualSpacing/>
    </w:pPr>
  </w:style>
  <w:style w:type="character" w:styleId="Hyperlink">
    <w:name w:val="Hyperlink"/>
    <w:basedOn w:val="Standardskrifttypeiafsnit"/>
    <w:uiPriority w:val="99"/>
    <w:unhideWhenUsed/>
    <w:rsid w:val="00505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guldborgsun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dc:creator>
  <cp:keywords/>
  <dc:description/>
  <cp:lastModifiedBy>Ulla Petersen</cp:lastModifiedBy>
  <cp:revision>2</cp:revision>
  <dcterms:created xsi:type="dcterms:W3CDTF">2018-05-28T11:10:00Z</dcterms:created>
  <dcterms:modified xsi:type="dcterms:W3CDTF">2018-05-28T11:10:00Z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{EE721239-74BE-4564-A293-2CFD00948E8F}</vt:lpwstr>
  </property>
</Properties>
</file>